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08"/>
          <w:tab w:val="right" w:pos="7484" w:leader="none"/>
        </w:tabs>
        <w:spacing w:lineRule="exact" w:line="480" w:before="0" w:after="0"/>
        <w:jc w:val="both"/>
        <w:rPr>
          <w:rFonts w:ascii="Tahoma" w:hAnsi="Tahoma" w:cs="Tahoma"/>
          <w:b/>
          <w:b/>
          <w:sz w:val="24"/>
          <w:szCs w:val="24"/>
        </w:rPr>
      </w:pPr>
      <w:r>
        <w:rPr>
          <w:rFonts w:cs="Tahoma" w:ascii="Tahoma" w:hAnsi="Tahoma"/>
          <w:sz w:val="24"/>
          <w:szCs w:val="24"/>
        </w:rPr>
        <w:t>Prot. …Rep. ……………</w:t>
        <w:tab/>
        <w:t>Ferrara, addì …………….</w:t>
      </w:r>
    </w:p>
    <w:p>
      <w:pPr>
        <w:pStyle w:val="Normal"/>
        <w:widowControl w:val="false"/>
        <w:spacing w:lineRule="exact" w:line="480" w:before="0" w:after="0"/>
        <w:jc w:val="center"/>
        <w:rPr>
          <w:rFonts w:ascii="Tahoma" w:hAnsi="Tahoma" w:cs="Tahoma"/>
          <w:sz w:val="24"/>
          <w:szCs w:val="24"/>
        </w:rPr>
      </w:pPr>
      <w:r>
        <w:rPr>
          <w:rFonts w:cs="Tahoma" w:ascii="Tahoma" w:hAnsi="Tahoma"/>
          <w:b/>
          <w:sz w:val="24"/>
          <w:szCs w:val="24"/>
        </w:rPr>
        <w:t>CONVENZIONE</w:t>
      </w:r>
    </w:p>
    <w:p>
      <w:pPr>
        <w:pStyle w:val="Normal"/>
        <w:widowControl w:val="false"/>
        <w:spacing w:lineRule="exact" w:line="480" w:before="0" w:after="0"/>
        <w:jc w:val="center"/>
        <w:rPr>
          <w:rFonts w:ascii="Tahoma" w:hAnsi="Tahoma" w:cs="Tahoma"/>
          <w:b/>
          <w:b/>
        </w:rPr>
      </w:pPr>
      <w:r>
        <w:rPr>
          <w:rFonts w:cs="Tahoma" w:ascii="Tahoma" w:hAnsi="Tahoma"/>
          <w:b/>
          <w:sz w:val="24"/>
          <w:szCs w:val="24"/>
        </w:rPr>
        <w:t xml:space="preserve">tra il Comune di Codigoro e il Consorzio di Bonifica Pianura di Ferrara per la ripresa di dissesti spondali a carico della sponda destra del canale Goro, nel tratto prospiciente la via Manzoni in località Mezzogoro </w:t>
      </w:r>
    </w:p>
    <w:p>
      <w:pPr>
        <w:pStyle w:val="Normal"/>
        <w:widowControl w:val="false"/>
        <w:spacing w:lineRule="exact" w:line="480" w:before="0" w:after="0"/>
        <w:jc w:val="center"/>
        <w:rPr>
          <w:rFonts w:ascii="Tahoma" w:hAnsi="Tahoma" w:cs="Tahoma"/>
          <w:sz w:val="24"/>
          <w:szCs w:val="24"/>
        </w:rPr>
      </w:pPr>
      <w:r>
        <w:rPr>
          <w:rFonts w:cs="Tahoma" w:ascii="Tahoma" w:hAnsi="Tahoma"/>
          <w:b/>
          <w:sz w:val="24"/>
          <w:szCs w:val="24"/>
        </w:rPr>
        <w:t>* * * * * * *</w:t>
      </w:r>
    </w:p>
    <w:p>
      <w:pPr>
        <w:pStyle w:val="Normal"/>
        <w:widowControl w:val="false"/>
        <w:spacing w:lineRule="exact" w:line="480" w:before="0" w:after="0"/>
        <w:jc w:val="both"/>
        <w:rPr>
          <w:rFonts w:ascii="Tahoma" w:hAnsi="Tahoma" w:cs="Tahoma"/>
          <w:sz w:val="24"/>
          <w:szCs w:val="24"/>
        </w:rPr>
      </w:pPr>
      <w:r>
        <w:rPr>
          <w:rFonts w:cs="Tahoma" w:ascii="Tahoma" w:hAnsi="Tahoma"/>
          <w:color w:val="000000"/>
        </w:rPr>
        <w:t>Con la presente scrittura privata, da valere ad ogni effetto e ragione di legge, redatta in originale informatico</w:t>
      </w:r>
      <w:r>
        <w:rPr>
          <w:rFonts w:cs="Tahoma" w:ascii="Tahoma" w:hAnsi="Tahoma"/>
          <w:sz w:val="24"/>
          <w:szCs w:val="24"/>
        </w:rPr>
        <w:t>, tra:</w:t>
      </w:r>
    </w:p>
    <w:p>
      <w:pPr>
        <w:pStyle w:val="Standard"/>
        <w:widowControl w:val="false"/>
        <w:numPr>
          <w:ilvl w:val="0"/>
          <w:numId w:val="1"/>
        </w:numPr>
        <w:tabs>
          <w:tab w:val="clear" w:pos="708"/>
          <w:tab w:val="left" w:pos="284" w:leader="none"/>
        </w:tabs>
        <w:spacing w:lineRule="exact" w:line="480" w:before="0" w:after="0"/>
        <w:ind w:left="284" w:hanging="284"/>
        <w:jc w:val="both"/>
        <w:rPr/>
      </w:pPr>
      <w:r>
        <w:rPr>
          <w:rFonts w:cs="Tahoma" w:ascii="Tahoma" w:hAnsi="Tahoma"/>
          <w:sz w:val="24"/>
          <w:szCs w:val="24"/>
        </w:rPr>
        <w:t xml:space="preserve">il "COMUNE DI CODIGORO", con sede a Codigoro (FE), Piazza Matteotti n. 60, codice fiscale 00339040388, indirizzo di posta elettronica certificata </w:t>
      </w:r>
      <w:hyperlink r:id="rId2">
        <w:r>
          <w:rPr>
            <w:rStyle w:val="CollegamentoInternet"/>
            <w:rFonts w:cs="Tahoma" w:ascii="Tahoma" w:hAnsi="Tahoma"/>
            <w:sz w:val="24"/>
            <w:szCs w:val="24"/>
          </w:rPr>
          <w:t>comune.codigoro@cert.comune.codigoro.fe.it</w:t>
        </w:r>
      </w:hyperlink>
      <w:r>
        <w:rPr>
          <w:rFonts w:cs="Tahoma" w:ascii="Tahoma" w:hAnsi="Tahoma"/>
          <w:sz w:val="24"/>
          <w:szCs w:val="24"/>
        </w:rPr>
        <w:t xml:space="preserve">, rappresentato dall’Arch. Antonio Molossi, domiciliato per la carica presso la sede del Comune, il quale interviene nella stipulazione del presente atto nella sua qualità di </w:t>
      </w:r>
      <w:r>
        <w:rPr>
          <w:rFonts w:eastAsia="Calibri" w:cs="Tahoma" w:ascii="Tahoma" w:hAnsi="Tahoma"/>
          <w:kern w:val="2"/>
          <w:sz w:val="24"/>
          <w:szCs w:val="24"/>
          <w:lang w:eastAsia="zh-CN"/>
        </w:rPr>
        <w:t>Dirigente del III° Settore – Area Tecnica</w:t>
      </w:r>
      <w:r>
        <w:rPr>
          <w:rFonts w:cs="Tahoma" w:ascii="Tahoma" w:hAnsi="Tahoma"/>
          <w:sz w:val="24"/>
          <w:szCs w:val="24"/>
        </w:rPr>
        <w:t xml:space="preserve"> del Comune di Codigoro (di seguito anche “Comune”),</w:t>
      </w:r>
    </w:p>
    <w:p>
      <w:pPr>
        <w:pStyle w:val="Standard"/>
        <w:widowControl w:val="false"/>
        <w:numPr>
          <w:ilvl w:val="0"/>
          <w:numId w:val="1"/>
        </w:numPr>
        <w:tabs>
          <w:tab w:val="clear" w:pos="708"/>
          <w:tab w:val="left" w:pos="284" w:leader="none"/>
        </w:tabs>
        <w:spacing w:lineRule="exact" w:line="480" w:before="0" w:after="0"/>
        <w:ind w:left="284" w:hanging="284"/>
        <w:jc w:val="both"/>
        <w:rPr/>
      </w:pPr>
      <w:r>
        <w:rPr>
          <w:rFonts w:cs="Tahoma" w:ascii="Tahoma" w:hAnsi="Tahoma"/>
          <w:sz w:val="24"/>
          <w:szCs w:val="24"/>
        </w:rPr>
        <w:t xml:space="preserve">il CONSORZIO DI BONIFICA PIANURA DI FERRARA, con sede a Ferrara (FE), via Borgo dei Leoni n. 28, codice fiscale 93076450381, indirizzo di posta elettronica certificata </w:t>
      </w:r>
      <w:hyperlink r:id="rId3">
        <w:r>
          <w:rPr>
            <w:rStyle w:val="CollegamentoInternet"/>
            <w:rFonts w:cs="Tahoma" w:ascii="Tahoma" w:hAnsi="Tahoma"/>
            <w:sz w:val="24"/>
            <w:szCs w:val="24"/>
          </w:rPr>
          <w:t>posta.certificata@pec.bonificaferrara.it</w:t>
        </w:r>
      </w:hyperlink>
      <w:r>
        <w:rPr>
          <w:rFonts w:cs="Tahoma" w:ascii="Tahoma" w:hAnsi="Tahoma"/>
          <w:sz w:val="24"/>
          <w:szCs w:val="24"/>
        </w:rPr>
        <w:t>, rappresentato dal Dott. Calderoni Stefano, domiciliato per la carica presso la sede legale del Consorzio, il quale interviene nella stipulazione del presente atto nella sua qualità di Presidente pro-tempore e legale rappresentante del Consorzio di Bonifica Pianura di Ferrara (di seguito anche “Consorzio”);</w:t>
      </w:r>
    </w:p>
    <w:p>
      <w:pPr>
        <w:pStyle w:val="Normal"/>
        <w:widowControl w:val="false"/>
        <w:spacing w:lineRule="exact" w:line="480" w:before="0" w:after="0"/>
        <w:jc w:val="both"/>
        <w:rPr>
          <w:rFonts w:ascii="Tahoma" w:hAnsi="Tahoma" w:cs="Tahoma"/>
          <w:sz w:val="24"/>
          <w:szCs w:val="24"/>
        </w:rPr>
      </w:pPr>
      <w:r>
        <w:rPr>
          <w:rFonts w:cs="Tahoma" w:ascii="Tahoma" w:hAnsi="Tahoma"/>
          <w:b/>
          <w:sz w:val="24"/>
          <w:szCs w:val="24"/>
        </w:rPr>
        <w:t>Premesso che:</w:t>
      </w:r>
    </w:p>
    <w:p>
      <w:pPr>
        <w:pStyle w:val="ListParagraph"/>
        <w:numPr>
          <w:ilvl w:val="0"/>
          <w:numId w:val="1"/>
        </w:numPr>
        <w:spacing w:lineRule="exact" w:line="480"/>
        <w:ind w:left="284" w:right="111" w:hanging="284"/>
        <w:rPr/>
      </w:pPr>
      <w:r>
        <w:rPr>
          <w:rFonts w:cs="Tahoma" w:ascii="Tahoma" w:hAnsi="Tahoma"/>
          <w:sz w:val="24"/>
          <w:szCs w:val="24"/>
        </w:rPr>
        <w:t>Il canale Goro rappresenta il relitto di un’antica asta fluviale che metteva in collegamento il naviglio Volano con il Po di Goro e, allo stato attuale, costituisce un elemento di fondamentale importanza per l’alimentazione irrigua di una vasta area agricola. Le acque veicolate da questa struttura idraulica risultano altresì indispensabili a garantire il regolare funzionamento delle macchine idrovore installate all’impianto Codigoro Acque Basse.</w:t>
      </w:r>
    </w:p>
    <w:p>
      <w:pPr>
        <w:pStyle w:val="ListParagraph"/>
        <w:numPr>
          <w:ilvl w:val="0"/>
          <w:numId w:val="1"/>
        </w:numPr>
        <w:spacing w:lineRule="exact" w:line="480"/>
        <w:ind w:left="284" w:right="111" w:hanging="284"/>
        <w:rPr>
          <w:rFonts w:ascii="Tahoma" w:hAnsi="Tahoma" w:cs="Tahoma"/>
          <w:sz w:val="24"/>
          <w:szCs w:val="24"/>
        </w:rPr>
      </w:pPr>
      <w:r>
        <w:rPr>
          <w:rFonts w:cs="Tahoma" w:ascii="Tahoma" w:hAnsi="Tahoma"/>
          <w:sz w:val="24"/>
          <w:szCs w:val="24"/>
        </w:rPr>
        <w:t>Il canale si presenta come un cavo a sezione trapezia in terra, dominante sul territorio attraversato e si sviluppa da nord a sud generalmente in parallelo con assi viari di diversa importanza.</w:t>
      </w:r>
    </w:p>
    <w:p>
      <w:pPr>
        <w:pStyle w:val="ListParagraph"/>
        <w:numPr>
          <w:ilvl w:val="0"/>
          <w:numId w:val="1"/>
        </w:numPr>
        <w:spacing w:lineRule="exact" w:line="480"/>
        <w:ind w:left="284" w:right="111" w:hanging="284"/>
        <w:rPr>
          <w:rFonts w:ascii="Tahoma" w:hAnsi="Tahoma" w:cs="Tahoma"/>
          <w:sz w:val="24"/>
          <w:szCs w:val="24"/>
        </w:rPr>
      </w:pPr>
      <w:r>
        <w:rPr>
          <w:rFonts w:cs="Tahoma" w:ascii="Tahoma" w:hAnsi="Tahoma"/>
          <w:sz w:val="24"/>
          <w:szCs w:val="24"/>
        </w:rPr>
        <w:t>A circa un terzo del proprio percorso il canale lambisce il centro abitato di Mezzogoro e, sulla sua pertinenza destra, è stata ricavata la strada comunale via Manzoni, per una lunghezza complessiva di circa 2500 metri.</w:t>
      </w:r>
    </w:p>
    <w:p>
      <w:pPr>
        <w:pStyle w:val="ListParagraph"/>
        <w:numPr>
          <w:ilvl w:val="0"/>
          <w:numId w:val="1"/>
        </w:numPr>
        <w:spacing w:lineRule="exact" w:line="480"/>
        <w:ind w:left="284" w:right="111" w:hanging="284"/>
        <w:rPr>
          <w:rFonts w:ascii="Tahoma" w:hAnsi="Tahoma" w:cs="Tahoma"/>
          <w:sz w:val="24"/>
          <w:szCs w:val="24"/>
        </w:rPr>
      </w:pPr>
      <w:r>
        <w:rPr>
          <w:rFonts w:cs="Tahoma" w:ascii="Tahoma" w:hAnsi="Tahoma"/>
          <w:sz w:val="24"/>
          <w:szCs w:val="24"/>
        </w:rPr>
        <w:t xml:space="preserve">La sponda destra del canale Goro, per un tratto di circa 100mt prospicente la suddetta strada comunale via Manzoni, presenta una condizione di diffuso dissesto, verosimilmente correlabile all’azione erosiva delle acque in transito e alla presenza di specie fossorie. </w:t>
      </w:r>
    </w:p>
    <w:p>
      <w:pPr>
        <w:pStyle w:val="ListParagraph"/>
        <w:numPr>
          <w:ilvl w:val="0"/>
          <w:numId w:val="1"/>
        </w:numPr>
        <w:spacing w:lineRule="exact" w:line="480"/>
        <w:ind w:left="284" w:right="111" w:hanging="284"/>
        <w:rPr>
          <w:rFonts w:ascii="Tahoma" w:hAnsi="Tahoma" w:cs="Tahoma"/>
          <w:sz w:val="24"/>
          <w:szCs w:val="24"/>
        </w:rPr>
      </w:pPr>
      <w:r>
        <w:rPr>
          <w:rFonts w:cs="Tahoma" w:ascii="Tahoma" w:hAnsi="Tahoma"/>
          <w:sz w:val="24"/>
          <w:szCs w:val="24"/>
        </w:rPr>
        <w:t>Il Servizio Tecnico consorziale, su richiesta del Comune di Codigoro, ha promosso i necessari accertamenti, ad esito dei quali si conferma un quadro di generale instabilità e pregiudizio.</w:t>
      </w:r>
    </w:p>
    <w:p>
      <w:pPr>
        <w:pStyle w:val="Normal"/>
        <w:widowControl w:val="false"/>
        <w:numPr>
          <w:ilvl w:val="0"/>
          <w:numId w:val="1"/>
        </w:numPr>
        <w:spacing w:lineRule="exact" w:line="480" w:before="0" w:after="0"/>
        <w:ind w:left="284" w:hanging="284"/>
        <w:jc w:val="both"/>
        <w:rPr>
          <w:rFonts w:ascii="Tahoma" w:hAnsi="Tahoma" w:cs="Tahoma"/>
          <w:color w:val="FF0000"/>
          <w:sz w:val="24"/>
          <w:szCs w:val="24"/>
        </w:rPr>
      </w:pPr>
      <w:r>
        <w:rPr>
          <w:rFonts w:cs="Tahoma" w:ascii="Tahoma" w:hAnsi="Tahoma"/>
          <w:sz w:val="24"/>
          <w:szCs w:val="24"/>
        </w:rPr>
        <w:t>Per mitigare le descritte condizioni di rischio il Consorzio ha pertanto provveduto ad elaborare una ipotesi progettuale d’intervento mediante la posa in opera di materiale lapideo, previa bonifica dello strato vegetale e interposizione di film in polipropilene.</w:t>
      </w:r>
    </w:p>
    <w:p>
      <w:pPr>
        <w:pStyle w:val="Normal"/>
        <w:widowControl w:val="false"/>
        <w:numPr>
          <w:ilvl w:val="0"/>
          <w:numId w:val="1"/>
        </w:numPr>
        <w:spacing w:lineRule="exact" w:line="480" w:before="0" w:after="0"/>
        <w:ind w:left="284" w:hanging="284"/>
        <w:jc w:val="both"/>
        <w:rPr>
          <w:rFonts w:ascii="Tahoma" w:hAnsi="Tahoma" w:cs="Tahoma"/>
          <w:color w:val="FF0000"/>
          <w:sz w:val="24"/>
          <w:szCs w:val="24"/>
        </w:rPr>
      </w:pPr>
      <w:r>
        <w:rPr>
          <w:rFonts w:cs="Tahoma" w:ascii="Tahoma" w:hAnsi="Tahoma"/>
          <w:sz w:val="24"/>
          <w:szCs w:val="24"/>
        </w:rPr>
        <w:t xml:space="preserve">La spesa stimata per l’esecuzione dell’intervento in progetto ammonta complessivamente a € 23.300,00, comprensiva degli oneri fiscali e di una quota percentuale per imprevisti ed oneri tecnici generali, da ripartire in eguale quota fra i due Enti poiché le strutture interessate dal dissesto presentano aspetti d’interesse comune fra Consorzio e Comune. </w:t>
      </w:r>
    </w:p>
    <w:p>
      <w:pPr>
        <w:pStyle w:val="Normal"/>
        <w:widowControl w:val="false"/>
        <w:numPr>
          <w:ilvl w:val="0"/>
          <w:numId w:val="1"/>
        </w:numPr>
        <w:spacing w:lineRule="exact" w:line="480" w:before="0" w:after="0"/>
        <w:ind w:left="284" w:hanging="284"/>
        <w:jc w:val="both"/>
        <w:rPr>
          <w:rFonts w:ascii="Tahoma" w:hAnsi="Tahoma" w:cs="Tahoma"/>
          <w:i/>
          <w:i/>
          <w:iCs/>
          <w:sz w:val="24"/>
          <w:szCs w:val="24"/>
        </w:rPr>
      </w:pPr>
      <w:r>
        <w:rPr>
          <w:rFonts w:cs="Tahoma" w:ascii="Tahoma" w:hAnsi="Tahoma"/>
          <w:sz w:val="24"/>
          <w:szCs w:val="24"/>
        </w:rPr>
        <w:t>Il Comune ha formalizzato la propria disponibilità economica e volontà di aderire alla proposta di collaborazione e ha chiesto al Consorzio di attivare l’iter per la realizzazione dell’intervento progettato.</w:t>
      </w:r>
    </w:p>
    <w:p>
      <w:pPr>
        <w:pStyle w:val="StileGiaco"/>
        <w:keepNext w:val="false"/>
        <w:keepLines w:val="false"/>
        <w:widowControl w:val="false"/>
        <w:numPr>
          <w:ilvl w:val="0"/>
          <w:numId w:val="1"/>
        </w:numPr>
        <w:tabs>
          <w:tab w:val="clear" w:pos="708"/>
          <w:tab w:val="left" w:pos="284" w:leader="none"/>
        </w:tabs>
        <w:spacing w:lineRule="exact" w:line="480" w:before="0" w:after="0"/>
        <w:ind w:left="284" w:hanging="284"/>
        <w:jc w:val="both"/>
        <w:rPr/>
      </w:pPr>
      <w:r>
        <w:rPr>
          <w:b w:val="false"/>
          <w:sz w:val="24"/>
          <w:szCs w:val="24"/>
        </w:rPr>
        <w:t xml:space="preserve">I detti Enti ritengono opportuno, in quanto necessario per entrambi e in coerenza con i propri compiti istituzionali, coordinare i propri compiti nel dare attuazione all’intervento in oggetto, a salvaguardia della funzionalità della linea idraulica e a favore della sicurezza dell’asse stradale. </w:t>
      </w:r>
    </w:p>
    <w:p>
      <w:pPr>
        <w:pStyle w:val="ListParagraph"/>
        <w:numPr>
          <w:ilvl w:val="0"/>
          <w:numId w:val="1"/>
        </w:numPr>
        <w:spacing w:lineRule="exact" w:line="480"/>
        <w:ind w:left="284" w:right="111" w:hanging="284"/>
        <w:rPr>
          <w:rFonts w:ascii="Tahoma" w:hAnsi="Tahoma" w:cs="Tahoma"/>
          <w:sz w:val="24"/>
          <w:szCs w:val="24"/>
        </w:rPr>
      </w:pPr>
      <w:r>
        <w:rPr>
          <w:rFonts w:cs="Tahoma" w:ascii="Tahoma" w:hAnsi="Tahoma"/>
          <w:sz w:val="24"/>
          <w:szCs w:val="24"/>
        </w:rPr>
        <w:t>In tale spirito di collaborazione le due Amministrazioni intendono pertanto regolare, mediante un’apposita Convenzione, i reciproci impegni e oneri nell’esecuzione dei presenti lavori di ripresa spondale.</w:t>
      </w:r>
    </w:p>
    <w:p>
      <w:pPr>
        <w:pStyle w:val="Normal"/>
        <w:widowControl w:val="false"/>
        <w:spacing w:lineRule="exact" w:line="480" w:before="0" w:after="0"/>
        <w:jc w:val="both"/>
        <w:rPr>
          <w:rFonts w:ascii="Tahoma" w:hAnsi="Tahoma" w:cs="Tahoma"/>
          <w:b/>
          <w:b/>
          <w:sz w:val="24"/>
          <w:szCs w:val="24"/>
        </w:rPr>
      </w:pPr>
      <w:r>
        <w:rPr>
          <w:rFonts w:cs="Tahoma" w:ascii="Tahoma" w:hAnsi="Tahoma"/>
          <w:b/>
          <w:sz w:val="24"/>
          <w:szCs w:val="24"/>
        </w:rPr>
        <w:t>Considerato che:</w:t>
      </w:r>
    </w:p>
    <w:p>
      <w:pPr>
        <w:pStyle w:val="Normal"/>
        <w:widowControl w:val="false"/>
        <w:numPr>
          <w:ilvl w:val="0"/>
          <w:numId w:val="2"/>
        </w:numPr>
        <w:spacing w:lineRule="exact" w:line="480" w:before="0" w:after="0"/>
        <w:ind w:left="284" w:hanging="284"/>
        <w:jc w:val="both"/>
        <w:rPr>
          <w:rFonts w:ascii="Tahoma" w:hAnsi="Tahoma" w:cs="Tahoma"/>
          <w:sz w:val="24"/>
          <w:szCs w:val="24"/>
        </w:rPr>
      </w:pPr>
      <w:r>
        <w:rPr>
          <w:rFonts w:cs="Tahoma" w:ascii="Tahoma" w:hAnsi="Tahoma"/>
          <w:sz w:val="24"/>
          <w:szCs w:val="24"/>
        </w:rPr>
        <w:t xml:space="preserve">Lo schema della presente Convenzione è stato approvato dal Comune di Codigoro con Deliberazione di </w:t>
      </w:r>
      <w:r>
        <w:rPr>
          <w:rFonts w:cs="Tahoma" w:ascii="Tahoma" w:hAnsi="Tahoma"/>
          <w:sz w:val="24"/>
          <w:szCs w:val="24"/>
        </w:rPr>
        <w:t>Giunta</w:t>
      </w:r>
      <w:r>
        <w:rPr>
          <w:rFonts w:cs="Tahoma" w:ascii="Tahoma" w:hAnsi="Tahoma"/>
          <w:sz w:val="24"/>
          <w:szCs w:val="24"/>
        </w:rPr>
        <w:t xml:space="preserve"> Comunale n. …. del …….</w:t>
      </w:r>
    </w:p>
    <w:p>
      <w:pPr>
        <w:pStyle w:val="Normal"/>
        <w:widowControl w:val="false"/>
        <w:numPr>
          <w:ilvl w:val="0"/>
          <w:numId w:val="2"/>
        </w:numPr>
        <w:spacing w:lineRule="exact" w:line="480" w:before="0" w:after="0"/>
        <w:ind w:left="284" w:hanging="284"/>
        <w:jc w:val="both"/>
        <w:rPr>
          <w:rFonts w:ascii="Tahoma" w:hAnsi="Tahoma" w:cs="Tahoma"/>
          <w:b/>
          <w:b/>
          <w:sz w:val="24"/>
          <w:szCs w:val="24"/>
        </w:rPr>
      </w:pPr>
      <w:r>
        <w:rPr>
          <w:rFonts w:cs="Tahoma" w:ascii="Tahoma" w:hAnsi="Tahoma"/>
          <w:sz w:val="24"/>
          <w:szCs w:val="24"/>
        </w:rPr>
        <w:t>Lo schema della presente Convenzione è stato approvato dall’Amministrazione del Consorzio di Bonifica Pianura di Ferrara con Deliberazione del Comitato Amministrativo n. …. del …………;</w:t>
      </w:r>
    </w:p>
    <w:p>
      <w:pPr>
        <w:pStyle w:val="Normal"/>
        <w:widowControl w:val="false"/>
        <w:spacing w:lineRule="exact" w:line="480" w:before="0" w:after="0"/>
        <w:jc w:val="center"/>
        <w:rPr>
          <w:sz w:val="24"/>
          <w:szCs w:val="24"/>
        </w:rPr>
      </w:pPr>
      <w:r>
        <w:rPr>
          <w:rFonts w:cs="Tahoma" w:ascii="Tahoma" w:hAnsi="Tahoma"/>
          <w:b/>
          <w:sz w:val="24"/>
          <w:szCs w:val="24"/>
        </w:rPr>
        <w:t>Ciò premesso e confermato, con la presente scrittura privata</w:t>
        <w:br/>
        <w:t xml:space="preserve"> da valere ad ogni effetto di ragione e di legge,</w:t>
        <w:br/>
        <w:t xml:space="preserve"> tra le Parti si conviene e si stipula quanto segue.</w:t>
      </w:r>
    </w:p>
    <w:p>
      <w:pPr>
        <w:pStyle w:val="Standard"/>
        <w:keepNext w:val="true"/>
        <w:keepLines/>
        <w:widowControl w:val="false"/>
        <w:spacing w:lineRule="exact" w:line="440" w:before="120" w:after="0"/>
        <w:jc w:val="both"/>
        <w:rPr>
          <w:rFonts w:ascii="Tahoma" w:hAnsi="Tahoma" w:cs="Tahoma"/>
          <w:b/>
          <w:b/>
        </w:rPr>
      </w:pPr>
      <w:r>
        <w:rPr>
          <w:rFonts w:cs="Tahoma" w:ascii="Tahoma" w:hAnsi="Tahoma"/>
          <w:b/>
          <w:sz w:val="24"/>
          <w:szCs w:val="24"/>
        </w:rPr>
        <w:t>Art. 1 - Premesse</w:t>
      </w:r>
    </w:p>
    <w:p>
      <w:pPr>
        <w:pStyle w:val="Standard"/>
        <w:widowControl w:val="false"/>
        <w:spacing w:lineRule="exact" w:line="440" w:before="0" w:after="0"/>
        <w:jc w:val="both"/>
        <w:rPr>
          <w:rFonts w:ascii="Tahoma" w:hAnsi="Tahoma" w:cs="Tahoma"/>
          <w:sz w:val="24"/>
          <w:szCs w:val="24"/>
        </w:rPr>
      </w:pPr>
      <w:r>
        <w:rPr>
          <w:rFonts w:cs="Tahoma" w:ascii="Tahoma" w:hAnsi="Tahoma"/>
          <w:sz w:val="24"/>
          <w:szCs w:val="24"/>
        </w:rPr>
        <w:t>Le premesse costituiscono parte integrante della presente Convenzione e vengono accettate dalle Parti.</w:t>
      </w:r>
    </w:p>
    <w:p>
      <w:pPr>
        <w:pStyle w:val="StileGiaco"/>
        <w:keepNext w:val="false"/>
        <w:keepLines w:val="false"/>
        <w:widowControl w:val="false"/>
        <w:numPr>
          <w:ilvl w:val="0"/>
          <w:numId w:val="0"/>
        </w:numPr>
        <w:tabs>
          <w:tab w:val="left" w:pos="708" w:leader="none"/>
        </w:tabs>
        <w:spacing w:lineRule="exact" w:line="480" w:before="120" w:after="0"/>
        <w:ind w:left="0" w:hanging="0"/>
        <w:rPr>
          <w:sz w:val="24"/>
          <w:szCs w:val="24"/>
        </w:rPr>
      </w:pPr>
      <w:r>
        <w:rPr>
          <w:sz w:val="24"/>
          <w:szCs w:val="24"/>
        </w:rPr>
        <w:t>Art. 2 – Oggetto e finalità</w:t>
      </w:r>
    </w:p>
    <w:p>
      <w:pPr>
        <w:pStyle w:val="StileGiaco"/>
        <w:keepNext w:val="false"/>
        <w:keepLines w:val="false"/>
        <w:widowControl w:val="false"/>
        <w:numPr>
          <w:ilvl w:val="0"/>
          <w:numId w:val="0"/>
        </w:numPr>
        <w:tabs>
          <w:tab w:val="left" w:pos="708" w:leader="none"/>
        </w:tabs>
        <w:spacing w:lineRule="exact" w:line="480" w:before="0" w:after="0"/>
        <w:ind w:left="0" w:hanging="0"/>
        <w:jc w:val="both"/>
        <w:rPr>
          <w:b w:val="false"/>
          <w:b w:val="false"/>
          <w:color w:val="FF0000"/>
          <w:sz w:val="24"/>
          <w:szCs w:val="24"/>
        </w:rPr>
      </w:pPr>
      <w:r>
        <w:rPr>
          <w:b w:val="false"/>
          <w:sz w:val="24"/>
          <w:szCs w:val="24"/>
        </w:rPr>
        <w:t>La presente Convenzione ha ad oggetto la definizione degli impegni e degli oneri a carico rispettivamente del Comune di Codigoro e del Consorzio di Bonifica Pianura di Ferrara in ordine all’esecuzione dell’intervento di ripresa di dissesti spondali a carico della sponda destra del canale Goro, nel tratto prospiciente la via Manzoni in località Mezzogoro, al fine di mitigare la condizione di rischio rilevata a carico della strada comunale e l’officiosità idraulica del canale Goro.</w:t>
      </w:r>
      <w:r>
        <w:rPr>
          <w:b w:val="false"/>
          <w:color w:val="FF0000"/>
          <w:sz w:val="24"/>
          <w:szCs w:val="24"/>
        </w:rPr>
        <w:t xml:space="preserve"> </w:t>
      </w:r>
    </w:p>
    <w:p>
      <w:pPr>
        <w:pStyle w:val="StileGiaco"/>
        <w:keepNext w:val="false"/>
        <w:keepLines w:val="false"/>
        <w:widowControl w:val="false"/>
        <w:numPr>
          <w:ilvl w:val="0"/>
          <w:numId w:val="0"/>
        </w:numPr>
        <w:tabs>
          <w:tab w:val="left" w:pos="708" w:leader="none"/>
        </w:tabs>
        <w:spacing w:lineRule="exact" w:line="480" w:before="120" w:after="0"/>
        <w:ind w:left="0" w:hanging="0"/>
        <w:jc w:val="both"/>
        <w:rPr>
          <w:sz w:val="24"/>
          <w:szCs w:val="24"/>
        </w:rPr>
      </w:pPr>
      <w:r>
        <w:rPr>
          <w:sz w:val="24"/>
          <w:szCs w:val="24"/>
        </w:rPr>
        <w:t>Art. 3 – Impegni del Consorzio di Bonifica Pianura di Ferrara</w:t>
      </w:r>
    </w:p>
    <w:p>
      <w:pPr>
        <w:pStyle w:val="StileGiaco"/>
        <w:keepNext w:val="false"/>
        <w:keepLines w:val="false"/>
        <w:widowControl w:val="false"/>
        <w:numPr>
          <w:ilvl w:val="0"/>
          <w:numId w:val="0"/>
        </w:numPr>
        <w:tabs>
          <w:tab w:val="left" w:pos="708" w:leader="none"/>
        </w:tabs>
        <w:spacing w:lineRule="exact" w:line="480" w:before="0" w:after="0"/>
        <w:ind w:left="0" w:hanging="0"/>
        <w:jc w:val="both"/>
        <w:rPr>
          <w:b w:val="false"/>
          <w:b w:val="false"/>
          <w:sz w:val="24"/>
          <w:szCs w:val="24"/>
        </w:rPr>
      </w:pPr>
      <w:r>
        <w:rPr>
          <w:b w:val="false"/>
          <w:sz w:val="24"/>
          <w:szCs w:val="24"/>
        </w:rPr>
        <w:t>Il Consorzio s’impegna:</w:t>
      </w:r>
    </w:p>
    <w:p>
      <w:pPr>
        <w:pStyle w:val="Standard"/>
        <w:numPr>
          <w:ilvl w:val="0"/>
          <w:numId w:val="3"/>
        </w:numPr>
        <w:spacing w:lineRule="exact" w:line="480" w:before="0" w:after="0"/>
        <w:ind w:left="425" w:hanging="425"/>
        <w:jc w:val="both"/>
        <w:textAlignment w:val="baseline"/>
        <w:rPr>
          <w:rFonts w:ascii="Tahoma" w:hAnsi="Tahoma" w:cs="Tahoma"/>
          <w:sz w:val="24"/>
          <w:szCs w:val="24"/>
        </w:rPr>
      </w:pPr>
      <w:r>
        <w:rPr>
          <w:rFonts w:cs="Tahoma" w:ascii="Tahoma" w:hAnsi="Tahoma"/>
          <w:sz w:val="24"/>
          <w:szCs w:val="24"/>
        </w:rPr>
        <w:t xml:space="preserve">a provvedere alla progettazione, esecuzione, direzione e rendicontazione delle opere necessarie al presidio spondale in oggetto, secondo le ipotesi progettuali concordate; </w:t>
      </w:r>
    </w:p>
    <w:p>
      <w:pPr>
        <w:pStyle w:val="Standard"/>
        <w:numPr>
          <w:ilvl w:val="0"/>
          <w:numId w:val="3"/>
        </w:numPr>
        <w:spacing w:lineRule="exact" w:line="480" w:before="0" w:after="0"/>
        <w:ind w:left="425" w:hanging="425"/>
        <w:jc w:val="both"/>
        <w:textAlignment w:val="baseline"/>
        <w:rPr>
          <w:rFonts w:ascii="Tahoma" w:hAnsi="Tahoma" w:cs="Tahoma"/>
          <w:sz w:val="24"/>
          <w:szCs w:val="24"/>
        </w:rPr>
      </w:pPr>
      <w:r>
        <w:rPr>
          <w:rFonts w:cs="Tahoma" w:ascii="Tahoma" w:hAnsi="Tahoma"/>
          <w:sz w:val="24"/>
          <w:szCs w:val="24"/>
        </w:rPr>
        <w:t>a provvedere alla contabilizzazione dei lavori, fornendo la necessaria documentazione al Comune per il conseguente rimborso e riscontro;</w:t>
      </w:r>
    </w:p>
    <w:p>
      <w:pPr>
        <w:pStyle w:val="Standard"/>
        <w:numPr>
          <w:ilvl w:val="0"/>
          <w:numId w:val="3"/>
        </w:numPr>
        <w:spacing w:lineRule="exact" w:line="480" w:before="0" w:after="0"/>
        <w:ind w:left="425" w:hanging="425"/>
        <w:jc w:val="both"/>
        <w:rPr>
          <w:rFonts w:ascii="Tahoma" w:hAnsi="Tahoma" w:cs="Tahoma"/>
        </w:rPr>
      </w:pPr>
      <w:r>
        <w:rPr>
          <w:rFonts w:cs="Tahoma" w:ascii="Tahoma" w:hAnsi="Tahoma"/>
          <w:sz w:val="24"/>
          <w:szCs w:val="24"/>
        </w:rPr>
        <w:t>ad eseguire i lavori nei tempi tecnici più contenuti possibili, tenuto conto dell’andamento climatico e compatibilmente con i normali cicli di invaso–svaso delle linee idrauliche in funzione della stagionalità e dell’indispensabile funzione irrigua delle stesse;</w:t>
      </w:r>
    </w:p>
    <w:p>
      <w:pPr>
        <w:pStyle w:val="Standard"/>
        <w:numPr>
          <w:ilvl w:val="0"/>
          <w:numId w:val="3"/>
        </w:numPr>
        <w:spacing w:lineRule="exact" w:line="480"/>
        <w:ind w:left="425" w:hanging="425"/>
        <w:jc w:val="both"/>
        <w:rPr>
          <w:rFonts w:ascii="Tahoma" w:hAnsi="Tahoma" w:cs="Tahoma"/>
          <w:sz w:val="24"/>
          <w:szCs w:val="24"/>
        </w:rPr>
      </w:pPr>
      <w:r>
        <w:rPr>
          <w:rFonts w:cs="Tahoma" w:ascii="Tahoma" w:hAnsi="Tahoma"/>
          <w:sz w:val="24"/>
          <w:szCs w:val="24"/>
        </w:rPr>
        <w:t xml:space="preserve">a sostenere la quota parte del 50% degli effettivi costi di realizzazione delle opere, presuntivamente stimati in 23.300,00 €, quale frazione a proprio carico prevista per l’esecuzione dei lavori. </w:t>
      </w:r>
    </w:p>
    <w:p>
      <w:pPr>
        <w:pStyle w:val="Standard"/>
        <w:spacing w:lineRule="exact" w:line="480" w:before="120" w:after="0"/>
        <w:jc w:val="both"/>
        <w:rPr/>
      </w:pPr>
      <w:r>
        <w:rPr>
          <w:rFonts w:cs="Tahoma" w:ascii="Tahoma" w:hAnsi="Tahoma"/>
          <w:b/>
          <w:sz w:val="24"/>
          <w:szCs w:val="24"/>
        </w:rPr>
        <w:t>Art. 4 – Impegni del Comune di Codigoro</w:t>
      </w:r>
    </w:p>
    <w:p>
      <w:pPr>
        <w:pStyle w:val="Standard"/>
        <w:spacing w:lineRule="exact" w:line="480" w:before="0" w:after="0"/>
        <w:jc w:val="both"/>
        <w:rPr/>
      </w:pPr>
      <w:r>
        <w:rPr>
          <w:rFonts w:cs="Tahoma" w:ascii="Tahoma" w:hAnsi="Tahoma"/>
          <w:sz w:val="24"/>
          <w:szCs w:val="24"/>
        </w:rPr>
        <w:t xml:space="preserve">Il Comune di Codigoro s’impegna: </w:t>
      </w:r>
    </w:p>
    <w:p>
      <w:pPr>
        <w:pStyle w:val="Standard"/>
        <w:numPr>
          <w:ilvl w:val="0"/>
          <w:numId w:val="3"/>
        </w:numPr>
        <w:tabs>
          <w:tab w:val="clear" w:pos="708"/>
          <w:tab w:val="left" w:pos="288" w:leader="none"/>
        </w:tabs>
        <w:spacing w:lineRule="exact" w:line="480" w:before="0" w:after="0"/>
        <w:ind w:left="425" w:hanging="425"/>
        <w:jc w:val="both"/>
        <w:rPr>
          <w:rFonts w:ascii="Tahoma" w:hAnsi="Tahoma" w:cs="Tahoma"/>
          <w:sz w:val="24"/>
          <w:szCs w:val="24"/>
        </w:rPr>
      </w:pPr>
      <w:r>
        <w:rPr>
          <w:rFonts w:cs="Tahoma" w:ascii="Tahoma" w:hAnsi="Tahoma"/>
          <w:sz w:val="24"/>
          <w:szCs w:val="24"/>
        </w:rPr>
        <w:t>a provvedere alla posa e mantenimento della segnaletica stradale relativa alle aree d’intervento. Detta attività entrerà a far parte integrante dell’esecuzione delle opere e per essa verrà riconosciuto al Comune un importo forfettario di €/die 20,00 a partire dalla firma della presente convenzione e sino all’effettivo inizio dei lavori, nei limiti massimi di 180 gg;</w:t>
      </w:r>
    </w:p>
    <w:p>
      <w:pPr>
        <w:pStyle w:val="Standard"/>
        <w:numPr>
          <w:ilvl w:val="0"/>
          <w:numId w:val="3"/>
        </w:numPr>
        <w:tabs>
          <w:tab w:val="clear" w:pos="708"/>
          <w:tab w:val="left" w:pos="288" w:leader="none"/>
        </w:tabs>
        <w:spacing w:lineRule="exact" w:line="480" w:before="0" w:after="0"/>
        <w:ind w:left="425" w:hanging="425"/>
        <w:jc w:val="both"/>
        <w:rPr>
          <w:rFonts w:ascii="Tahoma" w:hAnsi="Tahoma" w:cs="Tahoma"/>
          <w:iCs/>
          <w:sz w:val="24"/>
          <w:szCs w:val="24"/>
        </w:rPr>
      </w:pPr>
      <w:r>
        <w:rPr>
          <w:rFonts w:cs="Tahoma" w:ascii="Tahoma" w:hAnsi="Tahoma"/>
          <w:iCs/>
          <w:sz w:val="24"/>
          <w:szCs w:val="24"/>
        </w:rPr>
        <w:t xml:space="preserve">a corrispondere al Consorzio la somma concorrente a copertura del 50% delle spese effettivamente riscontrate, a ciò provvedendo mediante versamento sul conto corrente bancario IBAN: IT12Z 01030 13004 000001960771 intestato al Consorzio presso il Monte dei Paschi di Siena – Centro Enti di Ferrara specificando la causale </w:t>
      </w:r>
      <w:r>
        <w:rPr>
          <w:rFonts w:cs="Tahoma" w:ascii="Tahoma" w:hAnsi="Tahoma"/>
          <w:i/>
          <w:sz w:val="24"/>
          <w:szCs w:val="24"/>
        </w:rPr>
        <w:t>“Lavori di ripresa di dissesti della sponda destra del canale Goro in Via Manzoni in Mezzogoro –Saldo</w:t>
      </w:r>
      <w:r>
        <w:rPr>
          <w:rFonts w:cs="Tahoma" w:ascii="Tahoma" w:hAnsi="Tahoma"/>
          <w:iCs/>
          <w:sz w:val="24"/>
          <w:szCs w:val="24"/>
        </w:rPr>
        <w:t>”, entro 60 giorni dal ricevimento delle note di rendicontazione.</w:t>
      </w:r>
    </w:p>
    <w:p>
      <w:pPr>
        <w:pStyle w:val="Normal"/>
        <w:spacing w:lineRule="exact" w:line="480" w:before="120" w:after="200"/>
        <w:jc w:val="both"/>
        <w:rPr>
          <w:rFonts w:ascii="Tahoma" w:hAnsi="Tahoma" w:cs="Tahoma"/>
          <w:b/>
          <w:b/>
          <w:sz w:val="24"/>
          <w:szCs w:val="24"/>
        </w:rPr>
      </w:pPr>
      <w:r>
        <w:rPr>
          <w:rFonts w:cs="Tahoma" w:ascii="Tahoma" w:hAnsi="Tahoma"/>
          <w:b/>
          <w:sz w:val="24"/>
          <w:szCs w:val="24"/>
        </w:rPr>
        <w:t>Art. 5 – Quadro economico dell’intervento</w:t>
      </w:r>
    </w:p>
    <w:p>
      <w:pPr>
        <w:pStyle w:val="Normal"/>
        <w:spacing w:lineRule="exact" w:line="480"/>
        <w:jc w:val="both"/>
        <w:rPr>
          <w:rFonts w:ascii="Tahoma" w:hAnsi="Tahoma" w:cs="Tahoma"/>
          <w:sz w:val="24"/>
          <w:szCs w:val="24"/>
        </w:rPr>
      </w:pPr>
      <w:r>
        <w:rPr>
          <w:rFonts w:cs="Tahoma" w:ascii="Tahoma" w:hAnsi="Tahoma"/>
          <w:sz w:val="24"/>
          <w:szCs w:val="24"/>
        </w:rPr>
        <w:t>Il quadro economico dell’intervento sarà articolato secondo il seguente schema:</w:t>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center"/>
        <w:rPr>
          <w:rFonts w:ascii="Tahoma" w:hAnsi="Tahoma" w:cs="Tahoma"/>
          <w:sz w:val="24"/>
          <w:szCs w:val="24"/>
        </w:rPr>
      </w:pPr>
      <w:r>
        <w:rPr>
          <w:rFonts w:cs="Tahoma" w:ascii="Tahoma" w:hAnsi="Tahoma"/>
          <w:sz w:val="24"/>
          <w:szCs w:val="24"/>
        </w:rPr>
        <w:drawing>
          <wp:anchor behindDoc="0" distT="0" distB="0" distL="0" distR="0" simplePos="0" locked="0" layoutInCell="1" allowOverlap="1" relativeHeight="2">
            <wp:simplePos x="0" y="0"/>
            <wp:positionH relativeFrom="margin">
              <wp:align>center</wp:align>
            </wp:positionH>
            <wp:positionV relativeFrom="paragraph">
              <wp:posOffset>-2540</wp:posOffset>
            </wp:positionV>
            <wp:extent cx="5429250" cy="6037580"/>
            <wp:effectExtent l="0" t="0" r="0" b="0"/>
            <wp:wrapNone/>
            <wp:docPr id="1"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
                    <pic:cNvPicPr>
                      <a:picLocks noChangeAspect="1" noChangeArrowheads="1"/>
                    </pic:cNvPicPr>
                  </pic:nvPicPr>
                  <pic:blipFill>
                    <a:blip r:embed="rId4"/>
                    <a:stretch>
                      <a:fillRect/>
                    </a:stretch>
                  </pic:blipFill>
                  <pic:spPr bwMode="auto">
                    <a:xfrm>
                      <a:off x="0" y="0"/>
                      <a:ext cx="5429250" cy="6037580"/>
                    </a:xfrm>
                    <a:prstGeom prst="rect">
                      <a:avLst/>
                    </a:prstGeom>
                  </pic:spPr>
                </pic:pic>
              </a:graphicData>
            </a:graphic>
          </wp:anchor>
        </w:drawing>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r>
    </w:p>
    <w:p>
      <w:pPr>
        <w:pStyle w:val="Normal"/>
        <w:spacing w:lineRule="exact" w:line="480"/>
        <w:jc w:val="both"/>
        <w:rPr>
          <w:rFonts w:ascii="Tahoma" w:hAnsi="Tahoma" w:cs="Tahoma"/>
          <w:sz w:val="24"/>
          <w:szCs w:val="24"/>
        </w:rPr>
      </w:pPr>
      <w:r>
        <w:rPr>
          <w:rFonts w:cs="Tahoma" w:ascii="Tahoma" w:hAnsi="Tahoma"/>
          <w:sz w:val="24"/>
          <w:szCs w:val="24"/>
        </w:rPr>
        <w:t xml:space="preserve">Dai costi esposti restano esclusi, in quanto allo stato attuale non stimabili, eventuali trasporti a rifiuto connessi al rinvenimento di materie di risulta classificabili come inerti non rimpiegabili e eventuali oneri connessi ad atti autorizzativi di Enti diversi. </w:t>
      </w:r>
    </w:p>
    <w:p>
      <w:pPr>
        <w:pStyle w:val="StileGiaco"/>
        <w:keepNext w:val="false"/>
        <w:keepLines w:val="false"/>
        <w:widowControl w:val="false"/>
        <w:numPr>
          <w:ilvl w:val="0"/>
          <w:numId w:val="0"/>
        </w:numPr>
        <w:spacing w:lineRule="exact" w:line="480" w:before="0" w:after="0"/>
        <w:ind w:left="0" w:hanging="0"/>
        <w:rPr/>
      </w:pPr>
      <w:r>
        <w:rPr>
          <w:sz w:val="24"/>
          <w:szCs w:val="24"/>
        </w:rPr>
        <w:t>Art. 6 - Lavori in variante</w:t>
      </w:r>
    </w:p>
    <w:p>
      <w:pPr>
        <w:pStyle w:val="Standard"/>
        <w:widowControl w:val="false"/>
        <w:spacing w:lineRule="exact" w:line="480" w:before="0" w:after="0"/>
        <w:jc w:val="both"/>
        <w:rPr/>
      </w:pPr>
      <w:r>
        <w:rPr>
          <w:rFonts w:cs="Tahoma" w:ascii="Tahoma" w:hAnsi="Tahoma"/>
          <w:sz w:val="24"/>
          <w:szCs w:val="24"/>
        </w:rPr>
        <w:t>Qualora durante l’esecuzione dei lavori sorgessero esigenze non previste e fosse necessario modificare in tutto o in parte le lavorazioni di perizia e/o le rispettive quantità, o provvedere a forniture e noleggi non previsti, si potrà procedere senza alcuna formalità a condizione che rimanga invariato l’importo della spesa inizialmente prevista. Allo stesso modo si potrà procedere in caso di diminuzione della spesa.</w:t>
      </w:r>
    </w:p>
    <w:p>
      <w:pPr>
        <w:pStyle w:val="StileGiaco"/>
        <w:keepNext w:val="false"/>
        <w:keepLines w:val="false"/>
        <w:widowControl w:val="false"/>
        <w:numPr>
          <w:ilvl w:val="0"/>
          <w:numId w:val="0"/>
        </w:numPr>
        <w:spacing w:lineRule="exact" w:line="480" w:before="120" w:after="0"/>
        <w:ind w:left="0" w:hanging="0"/>
        <w:rPr/>
      </w:pPr>
      <w:r>
        <w:rPr>
          <w:sz w:val="24"/>
          <w:szCs w:val="24"/>
        </w:rPr>
        <w:t>Art. 7 - Sicurezza in cantiere</w:t>
      </w:r>
    </w:p>
    <w:p>
      <w:pPr>
        <w:pStyle w:val="Standard"/>
        <w:widowControl w:val="false"/>
        <w:spacing w:lineRule="exact" w:line="480" w:before="0" w:after="0"/>
        <w:jc w:val="both"/>
        <w:rPr/>
      </w:pPr>
      <w:r>
        <w:rPr>
          <w:rFonts w:cs="Tahoma" w:ascii="Tahoma" w:hAnsi="Tahoma"/>
          <w:sz w:val="24"/>
          <w:szCs w:val="24"/>
        </w:rPr>
        <w:t>Il Consorzio condurrà i lavori nel rispetto delle norme di sicurezza previste dalla normativa vigente in materia, con particolare riguardo al D. Lgs. 81/2008. In particolare, qualora ne ricorrano le condizioni di legge, il Consorzio elaborerà un PSC e nominerà il Coordinatore della sicurezza in fase di progettazione e di esecuzione.</w:t>
      </w:r>
    </w:p>
    <w:p>
      <w:pPr>
        <w:pStyle w:val="Normal"/>
        <w:spacing w:lineRule="exact" w:line="440" w:before="120" w:after="0"/>
        <w:rPr>
          <w:rFonts w:ascii="Tahoma" w:hAnsi="Tahoma" w:cs="Tahoma"/>
          <w:b/>
          <w:b/>
          <w:sz w:val="24"/>
          <w:szCs w:val="24"/>
        </w:rPr>
      </w:pPr>
      <w:r>
        <w:rPr>
          <w:rFonts w:cs="Tahoma" w:ascii="Tahoma" w:hAnsi="Tahoma"/>
          <w:b/>
          <w:sz w:val="24"/>
          <w:szCs w:val="24"/>
        </w:rPr>
        <w:t xml:space="preserve">Art. 8 – Referenti </w:t>
      </w:r>
    </w:p>
    <w:p>
      <w:pPr>
        <w:pStyle w:val="Normal"/>
        <w:spacing w:lineRule="exact" w:line="440" w:before="0" w:after="0"/>
        <w:jc w:val="both"/>
        <w:rPr>
          <w:rFonts w:ascii="Tahoma" w:hAnsi="Tahoma" w:cs="Tahoma"/>
          <w:sz w:val="24"/>
          <w:szCs w:val="24"/>
        </w:rPr>
      </w:pPr>
      <w:r>
        <w:rPr>
          <w:rFonts w:cs="Tahoma" w:ascii="Tahoma" w:hAnsi="Tahoma"/>
          <w:sz w:val="24"/>
          <w:szCs w:val="24"/>
        </w:rPr>
        <w:t>Le Parti convengono di designare, quali propri Referenti interni per l’attuazione della presente Convenzione:</w:t>
      </w:r>
    </w:p>
    <w:p>
      <w:pPr>
        <w:pStyle w:val="ListParagraph"/>
        <w:numPr>
          <w:ilvl w:val="0"/>
          <w:numId w:val="4"/>
        </w:numPr>
        <w:spacing w:lineRule="exact" w:line="440"/>
        <w:ind w:left="538" w:right="113" w:hanging="425"/>
        <w:rPr>
          <w:rFonts w:ascii="Tahoma" w:hAnsi="Tahoma" w:cs="Tahoma"/>
          <w:sz w:val="24"/>
          <w:szCs w:val="24"/>
        </w:rPr>
      </w:pPr>
      <w:r>
        <w:rPr>
          <w:rFonts w:cs="Tahoma" w:ascii="Tahoma" w:hAnsi="Tahoma"/>
          <w:sz w:val="24"/>
          <w:szCs w:val="24"/>
        </w:rPr>
        <w:t>il Direttore Area Territorio, Ing. Alessandro Buzzoni per il Consorzio;</w:t>
      </w:r>
    </w:p>
    <w:p>
      <w:pPr>
        <w:pStyle w:val="ListParagraph"/>
        <w:numPr>
          <w:ilvl w:val="0"/>
          <w:numId w:val="4"/>
        </w:numPr>
        <w:spacing w:lineRule="exact" w:line="440"/>
        <w:ind w:left="538" w:right="113" w:hanging="425"/>
        <w:rPr>
          <w:rFonts w:ascii="Tahoma" w:hAnsi="Tahoma" w:cs="Tahoma"/>
          <w:sz w:val="24"/>
          <w:szCs w:val="24"/>
        </w:rPr>
      </w:pPr>
      <w:r>
        <w:rPr>
          <w:rFonts w:cs="Tahoma" w:ascii="Tahoma" w:hAnsi="Tahoma"/>
          <w:sz w:val="24"/>
          <w:szCs w:val="24"/>
        </w:rPr>
        <w:t xml:space="preserve">il </w:t>
      </w:r>
      <w:r>
        <w:rPr>
          <w:rFonts w:eastAsia="Times New Roman" w:cs="Tahoma" w:ascii="Tahoma" w:hAnsi="Tahoma"/>
          <w:sz w:val="24"/>
          <w:szCs w:val="24"/>
          <w:lang w:eastAsia="en-US"/>
        </w:rPr>
        <w:t>Funzionario del Servizio Lavori Pubblici, Dott. Ing. Luca Zannicolò</w:t>
      </w:r>
      <w:r>
        <w:rPr>
          <w:rFonts w:cs="Tahoma" w:ascii="Tahoma" w:hAnsi="Tahoma"/>
          <w:sz w:val="24"/>
          <w:szCs w:val="24"/>
        </w:rPr>
        <w:t xml:space="preserve"> per il Comune di Codigoro.</w:t>
      </w:r>
    </w:p>
    <w:p>
      <w:pPr>
        <w:pStyle w:val="Standard"/>
        <w:widowControl w:val="false"/>
        <w:spacing w:lineRule="exact" w:line="480" w:before="120" w:after="0"/>
        <w:jc w:val="both"/>
        <w:rPr>
          <w:rFonts w:ascii="Tahoma" w:hAnsi="Tahoma" w:cs="Tahoma"/>
          <w:b/>
          <w:b/>
          <w:sz w:val="24"/>
          <w:szCs w:val="24"/>
        </w:rPr>
      </w:pPr>
      <w:r>
        <w:rPr>
          <w:rFonts w:cs="Tahoma" w:ascii="Tahoma" w:hAnsi="Tahoma"/>
          <w:b/>
          <w:sz w:val="24"/>
          <w:szCs w:val="24"/>
        </w:rPr>
        <w:t>Art. 9 – Durata della Convenzione</w:t>
      </w:r>
    </w:p>
    <w:p>
      <w:pPr>
        <w:pStyle w:val="Standard"/>
        <w:widowControl w:val="false"/>
        <w:spacing w:lineRule="exact" w:line="480" w:before="0" w:after="0"/>
        <w:jc w:val="both"/>
        <w:rPr/>
      </w:pPr>
      <w:r>
        <w:rPr>
          <w:rFonts w:cs="Tahoma" w:ascii="Tahoma" w:hAnsi="Tahoma"/>
          <w:sz w:val="24"/>
          <w:szCs w:val="24"/>
        </w:rPr>
        <w:t>La presente Convenzione avrà decorrenza dalla data della sua sottoscrizione e cesserà automaticamente di avere effetti successivamente alla completa liquidazione dei lavori previsti dal quadro economico, fatta salva la facoltà di proroga per l’utilizzo delle eventuali economie.</w:t>
      </w:r>
    </w:p>
    <w:p>
      <w:pPr>
        <w:pStyle w:val="StileGiaco"/>
        <w:keepNext w:val="false"/>
        <w:keepLines w:val="false"/>
        <w:widowControl w:val="false"/>
        <w:numPr>
          <w:ilvl w:val="0"/>
          <w:numId w:val="0"/>
        </w:numPr>
        <w:spacing w:lineRule="exact" w:line="480" w:before="120" w:after="0"/>
        <w:ind w:left="0" w:hanging="0"/>
        <w:rPr/>
      </w:pPr>
      <w:r>
        <w:rPr>
          <w:sz w:val="24"/>
          <w:szCs w:val="24"/>
        </w:rPr>
        <w:t>Art. 10 - Recesso unilaterale dalla Convenzione</w:t>
      </w:r>
    </w:p>
    <w:p>
      <w:pPr>
        <w:pStyle w:val="Standard"/>
        <w:widowControl w:val="false"/>
        <w:spacing w:lineRule="exact" w:line="480" w:before="0" w:after="0"/>
        <w:jc w:val="both"/>
        <w:rPr/>
      </w:pPr>
      <w:r>
        <w:rPr>
          <w:rFonts w:cs="Tahoma" w:ascii="Tahoma" w:hAnsi="Tahoma"/>
          <w:sz w:val="24"/>
          <w:szCs w:val="24"/>
        </w:rPr>
        <w:t>Sia il Comune che il Consorzio hanno facoltà di recedere unilateralmente dalla presente Convenzione senza necessità di motivazione, in qualunque momento di validità della stessa. Il recesso dovrà essere comunicato per iscritto, mediante raccomandata a.r. o PEC, a firma di colui che ha sottoscritto la presente Convenzione o da colui che ne avrà i poteri al momento del recesso.</w:t>
      </w:r>
    </w:p>
    <w:p>
      <w:pPr>
        <w:pStyle w:val="Standard"/>
        <w:widowControl w:val="false"/>
        <w:spacing w:lineRule="exact" w:line="480" w:before="0" w:after="0"/>
        <w:jc w:val="both"/>
        <w:rPr/>
      </w:pPr>
      <w:r>
        <w:rPr>
          <w:rFonts w:cs="Tahoma" w:ascii="Tahoma" w:hAnsi="Tahoma"/>
          <w:sz w:val="24"/>
          <w:szCs w:val="24"/>
        </w:rPr>
        <w:t>In ogni caso i singoli interventi iniziati in vigenza della Convenzione verranno portati a termine sino alla loro liquidazione da parte del Comune ai sensi della presente Convenzione.</w:t>
      </w:r>
    </w:p>
    <w:p>
      <w:pPr>
        <w:pStyle w:val="StileGiaco"/>
        <w:keepNext w:val="false"/>
        <w:keepLines w:val="false"/>
        <w:widowControl w:val="false"/>
        <w:numPr>
          <w:ilvl w:val="0"/>
          <w:numId w:val="0"/>
        </w:numPr>
        <w:spacing w:lineRule="exact" w:line="480" w:before="120" w:after="0"/>
        <w:ind w:left="0" w:hanging="0"/>
        <w:rPr/>
      </w:pPr>
      <w:r>
        <w:rPr>
          <w:sz w:val="24"/>
          <w:szCs w:val="24"/>
        </w:rPr>
        <w:t>Art. 11 - Revisione della Convenzione</w:t>
      </w:r>
    </w:p>
    <w:p>
      <w:pPr>
        <w:pStyle w:val="Standard"/>
        <w:widowControl w:val="false"/>
        <w:spacing w:lineRule="exact" w:line="480" w:before="0" w:after="0"/>
        <w:jc w:val="both"/>
        <w:rPr/>
      </w:pPr>
      <w:r>
        <w:rPr>
          <w:rFonts w:cs="Tahoma" w:ascii="Tahoma" w:hAnsi="Tahoma"/>
          <w:sz w:val="24"/>
          <w:szCs w:val="24"/>
        </w:rPr>
        <w:t>Qualora una od entrambe le Parti ritengano opportuno rivedere alcune clausole della presente Convenzione in corso di validità della stessa, questa potrà essere modificata di comune accordo, previa risoluzione concordata e bilaterale.</w:t>
      </w:r>
    </w:p>
    <w:p>
      <w:pPr>
        <w:pStyle w:val="StileGiaco"/>
        <w:keepNext w:val="false"/>
        <w:keepLines w:val="false"/>
        <w:widowControl w:val="false"/>
        <w:numPr>
          <w:ilvl w:val="0"/>
          <w:numId w:val="0"/>
        </w:numPr>
        <w:spacing w:lineRule="exact" w:line="480" w:before="120" w:after="0"/>
        <w:ind w:left="0" w:hanging="0"/>
        <w:rPr/>
      </w:pPr>
      <w:r>
        <w:rPr>
          <w:sz w:val="24"/>
          <w:szCs w:val="24"/>
        </w:rPr>
        <w:t>Art. 12 - Controversie</w:t>
      </w:r>
    </w:p>
    <w:p>
      <w:pPr>
        <w:pStyle w:val="Standard"/>
        <w:widowControl w:val="false"/>
        <w:spacing w:lineRule="exact" w:line="480" w:before="0" w:after="0"/>
        <w:jc w:val="both"/>
        <w:rPr/>
      </w:pPr>
      <w:r>
        <w:rPr>
          <w:rFonts w:cs="Tahoma" w:ascii="Tahoma" w:hAnsi="Tahoma"/>
          <w:sz w:val="24"/>
          <w:szCs w:val="24"/>
        </w:rPr>
        <w:t>A fronte di eventuali controversie tra le Parti si darà corso ad un tentativo di composizione in via bonaria amministrativa.</w:t>
      </w:r>
    </w:p>
    <w:p>
      <w:pPr>
        <w:pStyle w:val="Standard"/>
        <w:widowControl w:val="false"/>
        <w:spacing w:lineRule="exact" w:line="480" w:before="0" w:after="0"/>
        <w:jc w:val="both"/>
        <w:rPr/>
      </w:pPr>
      <w:r>
        <w:rPr>
          <w:rFonts w:cs="Tahoma" w:ascii="Tahoma" w:hAnsi="Tahoma"/>
          <w:sz w:val="24"/>
          <w:szCs w:val="24"/>
        </w:rPr>
        <w:t>In caso di controversie giudiziali è competente il Tribunale di Ferrara.</w:t>
      </w:r>
    </w:p>
    <w:p>
      <w:pPr>
        <w:pStyle w:val="Normal"/>
        <w:spacing w:lineRule="exact" w:line="480" w:before="120" w:after="0"/>
        <w:jc w:val="both"/>
        <w:rPr>
          <w:rFonts w:ascii="Tahoma" w:hAnsi="Tahoma" w:cs="Tahoma"/>
          <w:b/>
          <w:b/>
          <w:sz w:val="24"/>
          <w:szCs w:val="24"/>
        </w:rPr>
      </w:pPr>
      <w:r>
        <w:rPr>
          <w:rFonts w:cs="Tahoma" w:ascii="Tahoma" w:hAnsi="Tahoma"/>
          <w:b/>
          <w:sz w:val="24"/>
          <w:szCs w:val="24"/>
        </w:rPr>
        <w:t xml:space="preserve">Art. 13 – Tutela dei dati personali </w:t>
      </w:r>
    </w:p>
    <w:p>
      <w:pPr>
        <w:pStyle w:val="Normal"/>
        <w:spacing w:lineRule="exact" w:line="480"/>
        <w:jc w:val="both"/>
        <w:rPr>
          <w:rFonts w:ascii="Tahoma" w:hAnsi="Tahoma" w:cs="Tahoma"/>
          <w:sz w:val="24"/>
          <w:szCs w:val="24"/>
        </w:rPr>
      </w:pPr>
      <w:r>
        <w:rPr>
          <w:rFonts w:cs="Tahoma" w:ascii="Tahoma" w:hAnsi="Tahoma"/>
          <w:sz w:val="24"/>
          <w:szCs w:val="24"/>
        </w:rPr>
        <w:t>Le Parti danno atto che ciascuna di esse è titolare del trattamento dei dati personali dell’altra Parte di cui venga in possesso in ragione e conseguenza della presente Convenzione e che tale trattamento è effettuato ai fini e per gli effetti dell’adempimento della Convenzione stessa. I dati personali saranno trattati dalle Parti nei limiti, nelle forme e con le modalità previste dalla normativa vigente in materia di protezione e trattamento dei dati personali. A tal fine le Parti dichiarano di essersi scambiate le reciproche informative ai sensi dell’art. 13 del Regolamento UE n. 2016/679.</w:t>
      </w:r>
    </w:p>
    <w:p>
      <w:pPr>
        <w:pStyle w:val="StileGiaco"/>
        <w:keepNext w:val="false"/>
        <w:keepLines w:val="false"/>
        <w:widowControl w:val="false"/>
        <w:numPr>
          <w:ilvl w:val="0"/>
          <w:numId w:val="0"/>
        </w:numPr>
        <w:spacing w:lineRule="exact" w:line="480" w:before="120" w:after="0"/>
        <w:ind w:left="0" w:hanging="0"/>
        <w:rPr/>
      </w:pPr>
      <w:r>
        <w:rPr>
          <w:sz w:val="24"/>
          <w:szCs w:val="24"/>
        </w:rPr>
        <w:t>Art. 14 – Disposizioni finali</w:t>
      </w:r>
    </w:p>
    <w:p>
      <w:pPr>
        <w:pStyle w:val="Standard"/>
        <w:widowControl w:val="false"/>
        <w:spacing w:lineRule="exact" w:line="480" w:before="0" w:after="0"/>
        <w:jc w:val="both"/>
        <w:rPr/>
      </w:pPr>
      <w:r>
        <w:rPr>
          <w:rFonts w:cs="Tahoma" w:ascii="Tahoma" w:hAnsi="Tahoma"/>
          <w:sz w:val="24"/>
          <w:szCs w:val="24"/>
        </w:rPr>
        <w:t>Il presente atto è soggetto a registrazione in caso d’uso, ai sensi dell’art. 2, comma 1, della Tariffa Parte II allegata al D.P.R. 131/1986.</w:t>
      </w:r>
    </w:p>
    <w:p>
      <w:pPr>
        <w:pStyle w:val="BodyText2"/>
        <w:tabs>
          <w:tab w:val="clear" w:pos="708"/>
          <w:tab w:val="left" w:pos="7938" w:leader="none"/>
        </w:tabs>
        <w:spacing w:lineRule="exact" w:line="480"/>
        <w:rPr/>
      </w:pPr>
      <w:r>
        <w:rPr>
          <w:rFonts w:cs="Tahoma" w:ascii="Tahoma" w:hAnsi="Tahoma"/>
          <w:b w:val="false"/>
          <w:color w:val="000000"/>
          <w:spacing w:val="-1"/>
          <w:sz w:val="24"/>
          <w:szCs w:val="24"/>
        </w:rPr>
        <w:t>Il presente atto viene sottoscritto in forma digitale ai sensi della L. 241/1990, art. 15, c. 2 bis.</w:t>
      </w:r>
    </w:p>
    <w:p>
      <w:pPr>
        <w:pStyle w:val="Standard"/>
        <w:widowControl w:val="false"/>
        <w:spacing w:lineRule="exact" w:line="480" w:before="0" w:after="0"/>
        <w:jc w:val="center"/>
        <w:rPr>
          <w:rFonts w:ascii="Tahoma" w:hAnsi="Tahoma" w:cs="Tahoma"/>
          <w:sz w:val="24"/>
          <w:szCs w:val="24"/>
        </w:rPr>
      </w:pPr>
      <w:r>
        <w:rPr>
          <w:rFonts w:cs="Tahoma" w:ascii="Tahoma" w:hAnsi="Tahoma"/>
          <w:sz w:val="24"/>
          <w:szCs w:val="24"/>
        </w:rPr>
      </w:r>
    </w:p>
    <w:p>
      <w:pPr>
        <w:pStyle w:val="Normal"/>
        <w:widowControl w:val="false"/>
        <w:spacing w:lineRule="exact" w:line="400" w:before="0" w:after="0"/>
        <w:jc w:val="center"/>
        <w:rPr>
          <w:rFonts w:ascii="Tahoma" w:hAnsi="Tahoma" w:cs="Tahoma"/>
          <w:sz w:val="24"/>
          <w:szCs w:val="24"/>
        </w:rPr>
      </w:pPr>
      <w:r>
        <w:rPr>
          <w:rFonts w:cs="Tahoma" w:ascii="Tahoma" w:hAnsi="Tahoma"/>
          <w:sz w:val="24"/>
          <w:szCs w:val="24"/>
        </w:rPr>
        <w:t xml:space="preserve">Per il Comune di Codigoro  </w:t>
      </w:r>
    </w:p>
    <w:p>
      <w:pPr>
        <w:pStyle w:val="Normal"/>
        <w:widowControl w:val="false"/>
        <w:spacing w:lineRule="exact" w:line="400" w:before="0" w:after="0"/>
        <w:jc w:val="center"/>
        <w:rPr>
          <w:rFonts w:ascii="Tahoma" w:hAnsi="Tahoma" w:cs="Tahoma"/>
          <w:sz w:val="24"/>
          <w:szCs w:val="24"/>
        </w:rPr>
      </w:pPr>
      <w:r>
        <w:rPr>
          <w:rFonts w:cs="Tahoma" w:ascii="Tahoma" w:hAnsi="Tahoma"/>
          <w:sz w:val="24"/>
          <w:szCs w:val="24"/>
        </w:rPr>
        <w:t>Il Dirigente del III° Settore – Area Tecnica</w:t>
      </w:r>
    </w:p>
    <w:p>
      <w:pPr>
        <w:pStyle w:val="Normal"/>
        <w:widowControl w:val="false"/>
        <w:spacing w:lineRule="exact" w:line="400" w:before="0" w:after="0"/>
        <w:jc w:val="center"/>
        <w:rPr>
          <w:rFonts w:ascii="Tahoma" w:hAnsi="Tahoma" w:cs="Tahoma"/>
          <w:sz w:val="24"/>
          <w:szCs w:val="24"/>
        </w:rPr>
      </w:pPr>
      <w:r>
        <w:rPr>
          <w:rFonts w:cs="Tahoma" w:ascii="Tahoma" w:hAnsi="Tahoma"/>
          <w:sz w:val="24"/>
          <w:szCs w:val="24"/>
        </w:rPr>
        <w:t>(</w:t>
      </w:r>
      <w:r>
        <w:rPr>
          <w:rFonts w:eastAsia="Calibri" w:cs="Tahoma" w:ascii="Tahoma" w:hAnsi="Tahoma"/>
          <w:sz w:val="24"/>
          <w:szCs w:val="24"/>
          <w:lang w:eastAsia="zh-CN"/>
        </w:rPr>
        <w:t>Arh. Antonio Molossi</w:t>
      </w:r>
      <w:r>
        <w:rPr>
          <w:rFonts w:cs="Tahoma" w:ascii="Tahoma" w:hAnsi="Tahoma"/>
          <w:sz w:val="24"/>
          <w:szCs w:val="24"/>
        </w:rPr>
        <w:t>)</w:t>
      </w:r>
    </w:p>
    <w:p>
      <w:pPr>
        <w:pStyle w:val="Normal"/>
        <w:widowControl w:val="false"/>
        <w:spacing w:lineRule="exact" w:line="400" w:before="0" w:after="0"/>
        <w:jc w:val="center"/>
        <w:rPr>
          <w:rFonts w:ascii="Tahoma" w:hAnsi="Tahoma" w:cs="Tahoma"/>
          <w:i/>
          <w:i/>
          <w:sz w:val="24"/>
          <w:szCs w:val="24"/>
        </w:rPr>
      </w:pPr>
      <w:r>
        <w:rPr>
          <w:rFonts w:cs="Tahoma" w:ascii="Tahoma" w:hAnsi="Tahoma"/>
          <w:i/>
          <w:sz w:val="24"/>
          <w:szCs w:val="24"/>
        </w:rPr>
        <w:t>(firmato digitalmente)</w:t>
      </w:r>
    </w:p>
    <w:p>
      <w:pPr>
        <w:pStyle w:val="Normal"/>
        <w:widowControl w:val="false"/>
        <w:spacing w:lineRule="exact" w:line="400" w:before="240" w:after="0"/>
        <w:jc w:val="center"/>
        <w:rPr>
          <w:rFonts w:ascii="Tahoma" w:hAnsi="Tahoma" w:cs="Tahoma"/>
          <w:sz w:val="24"/>
          <w:szCs w:val="24"/>
        </w:rPr>
      </w:pPr>
      <w:r>
        <w:rPr>
          <w:rFonts w:cs="Tahoma" w:ascii="Tahoma" w:hAnsi="Tahoma"/>
          <w:sz w:val="24"/>
          <w:szCs w:val="24"/>
        </w:rPr>
      </w:r>
    </w:p>
    <w:p>
      <w:pPr>
        <w:pStyle w:val="Normal"/>
        <w:widowControl w:val="false"/>
        <w:spacing w:lineRule="exact" w:line="400" w:before="240" w:after="0"/>
        <w:jc w:val="center"/>
        <w:rPr>
          <w:rFonts w:ascii="Tahoma" w:hAnsi="Tahoma" w:eastAsia="Tahoma" w:cs="Tahoma"/>
          <w:sz w:val="24"/>
          <w:szCs w:val="24"/>
        </w:rPr>
      </w:pPr>
      <w:r>
        <w:rPr>
          <w:rFonts w:cs="Tahoma" w:ascii="Tahoma" w:hAnsi="Tahoma"/>
          <w:sz w:val="24"/>
          <w:szCs w:val="24"/>
        </w:rPr>
        <w:t>per il Consorzio di Bonifica Pianura di Ferrara</w:t>
        <w:br/>
        <w:t xml:space="preserve">il Presidente </w:t>
        <w:br/>
        <w:t>(Dott. Stefano Calderoni)</w:t>
      </w:r>
    </w:p>
    <w:p>
      <w:pPr>
        <w:pStyle w:val="Normal"/>
        <w:widowControl w:val="false"/>
        <w:spacing w:lineRule="exact" w:line="400" w:before="0" w:after="0"/>
        <w:jc w:val="center"/>
        <w:rPr>
          <w:rFonts w:ascii="Tahoma" w:hAnsi="Tahoma" w:cs="Tahoma"/>
          <w:i/>
          <w:i/>
          <w:sz w:val="24"/>
          <w:szCs w:val="24"/>
        </w:rPr>
      </w:pPr>
      <w:r>
        <w:rPr>
          <w:rFonts w:cs="Tahoma" w:ascii="Tahoma" w:hAnsi="Tahoma"/>
          <w:i/>
          <w:sz w:val="24"/>
          <w:szCs w:val="24"/>
        </w:rPr>
        <w:t>(firmato digitalmente)</w:t>
      </w:r>
    </w:p>
    <w:p>
      <w:pPr>
        <w:pStyle w:val="Normal"/>
        <w:rPr/>
      </w:pPr>
      <w:r>
        <w:rPr/>
      </w:r>
    </w:p>
    <w:p>
      <w:pPr>
        <w:pStyle w:val="Normal"/>
        <w:widowControl/>
        <w:bidi w:val="0"/>
        <w:spacing w:lineRule="auto" w:line="276" w:before="0" w:after="20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Tahoma">
    <w:charset w:val="01"/>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numFmt w:val="bullet"/>
      <w:lvlText w:val="-"/>
      <w:lvlJc w:val="left"/>
      <w:pPr>
        <w:tabs>
          <w:tab w:val="num" w:pos="0"/>
        </w:tabs>
        <w:ind w:left="540" w:hanging="428"/>
      </w:pPr>
      <w:rPr>
        <w:rFonts w:ascii="Times New Roman" w:hAnsi="Times New Roman" w:cs="Times New Roman" w:hint="default"/>
      </w:rPr>
    </w:lvl>
    <w:lvl w:ilvl="1">
      <w:start w:val="0"/>
      <w:numFmt w:val="bullet"/>
      <w:lvlText w:val=""/>
      <w:lvlJc w:val="left"/>
      <w:pPr>
        <w:tabs>
          <w:tab w:val="num" w:pos="0"/>
        </w:tabs>
        <w:ind w:left="833" w:hanging="360"/>
      </w:pPr>
      <w:rPr>
        <w:rFonts w:ascii="Symbol" w:hAnsi="Symbol" w:cs="Symbol" w:hint="default"/>
      </w:rPr>
    </w:lvl>
    <w:lvl w:ilvl="2">
      <w:start w:val="0"/>
      <w:numFmt w:val="bullet"/>
      <w:lvlText w:val=""/>
      <w:lvlJc w:val="left"/>
      <w:pPr>
        <w:tabs>
          <w:tab w:val="num" w:pos="0"/>
        </w:tabs>
        <w:ind w:left="1842" w:hanging="360"/>
      </w:pPr>
      <w:rPr>
        <w:rFonts w:ascii="Symbol" w:hAnsi="Symbol" w:cs="Symbol" w:hint="default"/>
      </w:rPr>
    </w:lvl>
    <w:lvl w:ilvl="3">
      <w:start w:val="0"/>
      <w:numFmt w:val="bullet"/>
      <w:lvlText w:val=""/>
      <w:lvlJc w:val="left"/>
      <w:pPr>
        <w:tabs>
          <w:tab w:val="num" w:pos="0"/>
        </w:tabs>
        <w:ind w:left="2845" w:hanging="360"/>
      </w:pPr>
      <w:rPr>
        <w:rFonts w:ascii="Symbol" w:hAnsi="Symbol" w:cs="Symbol" w:hint="default"/>
      </w:rPr>
    </w:lvl>
    <w:lvl w:ilvl="4">
      <w:start w:val="0"/>
      <w:numFmt w:val="bullet"/>
      <w:lvlText w:val=""/>
      <w:lvlJc w:val="left"/>
      <w:pPr>
        <w:tabs>
          <w:tab w:val="num" w:pos="0"/>
        </w:tabs>
        <w:ind w:left="3848" w:hanging="360"/>
      </w:pPr>
      <w:rPr>
        <w:rFonts w:ascii="Symbol" w:hAnsi="Symbol" w:cs="Symbol" w:hint="default"/>
      </w:rPr>
    </w:lvl>
    <w:lvl w:ilvl="5">
      <w:start w:val="0"/>
      <w:numFmt w:val="bullet"/>
      <w:lvlText w:val=""/>
      <w:lvlJc w:val="left"/>
      <w:pPr>
        <w:tabs>
          <w:tab w:val="num" w:pos="0"/>
        </w:tabs>
        <w:ind w:left="4851" w:hanging="360"/>
      </w:pPr>
      <w:rPr>
        <w:rFonts w:ascii="Symbol" w:hAnsi="Symbol" w:cs="Symbol" w:hint="default"/>
      </w:rPr>
    </w:lvl>
    <w:lvl w:ilvl="6">
      <w:start w:val="0"/>
      <w:numFmt w:val="bullet"/>
      <w:lvlText w:val=""/>
      <w:lvlJc w:val="left"/>
      <w:pPr>
        <w:tabs>
          <w:tab w:val="num" w:pos="0"/>
        </w:tabs>
        <w:ind w:left="5854" w:hanging="360"/>
      </w:pPr>
      <w:rPr>
        <w:rFonts w:ascii="Symbol" w:hAnsi="Symbol" w:cs="Symbol" w:hint="default"/>
      </w:rPr>
    </w:lvl>
    <w:lvl w:ilvl="7">
      <w:start w:val="0"/>
      <w:numFmt w:val="bullet"/>
      <w:lvlText w:val=""/>
      <w:lvlJc w:val="left"/>
      <w:pPr>
        <w:tabs>
          <w:tab w:val="num" w:pos="0"/>
        </w:tabs>
        <w:ind w:left="6857" w:hanging="360"/>
      </w:pPr>
      <w:rPr>
        <w:rFonts w:ascii="Symbol" w:hAnsi="Symbol" w:cs="Symbol" w:hint="default"/>
      </w:rPr>
    </w:lvl>
    <w:lvl w:ilvl="8">
      <w:start w:val="0"/>
      <w:numFmt w:val="bullet"/>
      <w:lvlText w:val=""/>
      <w:lvlJc w:val="left"/>
      <w:pPr>
        <w:tabs>
          <w:tab w:val="num" w:pos="0"/>
        </w:tabs>
        <w:ind w:left="7860" w:hanging="360"/>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6915"/>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it-IT" w:eastAsia="zh-CN" w:bidi="ar-SA"/>
    </w:rPr>
  </w:style>
  <w:style w:type="character" w:styleId="DefaultParagraphFont" w:default="1">
    <w:name w:val="Default Paragraph Font"/>
    <w:uiPriority w:val="1"/>
    <w:semiHidden/>
    <w:unhideWhenUsed/>
    <w:qFormat/>
    <w:rPr/>
  </w:style>
  <w:style w:type="character" w:styleId="CollegamentoInternet">
    <w:name w:val="Collegamento Internet"/>
    <w:unhideWhenUsed/>
    <w:rsid w:val="00656915"/>
    <w:rPr>
      <w:color w:val="0000FF"/>
      <w:u w:val="single"/>
    </w:rPr>
  </w:style>
  <w:style w:type="character" w:styleId="Corpodeltesto2Carattere" w:customStyle="1">
    <w:name w:val="Corpo del testo 2 Carattere"/>
    <w:basedOn w:val="DefaultParagraphFont"/>
    <w:link w:val="Corpodeltesto2"/>
    <w:semiHidden/>
    <w:qFormat/>
    <w:rsid w:val="0040314d"/>
    <w:rPr>
      <w:rFonts w:ascii="Calibri" w:hAnsi="Calibri" w:eastAsia="Calibri" w:cs="Calibri"/>
      <w:b/>
      <w:sz w:val="28"/>
      <w:lang w:eastAsia="zh-CN"/>
    </w:rPr>
  </w:style>
  <w:style w:type="character" w:styleId="ParagrafoelencoCarattere" w:customStyle="1">
    <w:name w:val="Paragrafo elenco Carattere"/>
    <w:link w:val="Paragrafoelenco"/>
    <w:uiPriority w:val="34"/>
    <w:qFormat/>
    <w:locked/>
    <w:rsid w:val="002f0f7c"/>
    <w:rPr>
      <w:rFonts w:ascii="Times New Roman" w:hAnsi="Times New Roman" w:eastAsia="Times New Roman" w:cs="Times New Roman"/>
    </w:rPr>
  </w:style>
  <w:style w:type="character" w:styleId="TestofumettoCarattere" w:customStyle="1">
    <w:name w:val="Testo fumetto Carattere"/>
    <w:basedOn w:val="DefaultParagraphFont"/>
    <w:link w:val="Testofumetto"/>
    <w:uiPriority w:val="99"/>
    <w:semiHidden/>
    <w:qFormat/>
    <w:rsid w:val="00b000fa"/>
    <w:rPr>
      <w:rFonts w:ascii="Tahoma" w:hAnsi="Tahoma" w:eastAsia="Calibri" w:cs="Tahoma"/>
      <w:sz w:val="16"/>
      <w:szCs w:val="16"/>
      <w:lang w:eastAsia="zh-C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StileGiaco" w:customStyle="1">
    <w:name w:val="StileGiaco"/>
    <w:basedOn w:val="Normal"/>
    <w:qFormat/>
    <w:rsid w:val="00656915"/>
    <w:pPr>
      <w:keepNext w:val="true"/>
      <w:keepLines/>
      <w:spacing w:lineRule="auto" w:line="288" w:before="480" w:after="240"/>
    </w:pPr>
    <w:rPr>
      <w:rFonts w:ascii="Tahoma" w:hAnsi="Tahoma" w:eastAsia="Times New Roman" w:cs="Tahoma"/>
      <w:b/>
      <w:bCs/>
    </w:rPr>
  </w:style>
  <w:style w:type="paragraph" w:styleId="Standard" w:customStyle="1">
    <w:name w:val="Standard"/>
    <w:qFormat/>
    <w:rsid w:val="00656915"/>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it-IT" w:eastAsia="zh-CN" w:bidi="ar-SA"/>
    </w:rPr>
  </w:style>
  <w:style w:type="paragraph" w:styleId="BodyText2">
    <w:name w:val="Body Text 2"/>
    <w:basedOn w:val="Standard"/>
    <w:link w:val="Corpodeltesto2Carattere"/>
    <w:semiHidden/>
    <w:unhideWhenUsed/>
    <w:qFormat/>
    <w:rsid w:val="0040314d"/>
    <w:pPr>
      <w:suppressAutoHyphens w:val="false"/>
      <w:spacing w:lineRule="auto" w:line="360"/>
      <w:jc w:val="both"/>
    </w:pPr>
    <w:rPr>
      <w:b/>
      <w:kern w:val="0"/>
      <w:sz w:val="28"/>
    </w:rPr>
  </w:style>
  <w:style w:type="paragraph" w:styleId="ListParagraph">
    <w:name w:val="List Paragraph"/>
    <w:basedOn w:val="Normal"/>
    <w:link w:val="ParagrafoelencoCarattere"/>
    <w:uiPriority w:val="34"/>
    <w:qFormat/>
    <w:rsid w:val="002f0f7c"/>
    <w:pPr>
      <w:widowControl w:val="false"/>
      <w:spacing w:lineRule="auto" w:line="240" w:before="0" w:after="0"/>
      <w:ind w:left="540" w:right="111" w:hanging="428"/>
      <w:jc w:val="both"/>
    </w:pPr>
    <w:rPr>
      <w:rFonts w:ascii="Times New Roman" w:hAnsi="Times New Roman" w:eastAsia="Times New Roman" w:cs="Times New Roman"/>
      <w:lang w:eastAsia="en-US"/>
    </w:rPr>
  </w:style>
  <w:style w:type="paragraph" w:styleId="BalloonText">
    <w:name w:val="Balloon Text"/>
    <w:basedOn w:val="Normal"/>
    <w:link w:val="TestofumettoCarattere"/>
    <w:uiPriority w:val="99"/>
    <w:semiHidden/>
    <w:unhideWhenUsed/>
    <w:qFormat/>
    <w:rsid w:val="00b000fa"/>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une.codigoro@cert.comune.codigoro.fe.it" TargetMode="External"/><Relationship Id="rId3" Type="http://schemas.openxmlformats.org/officeDocument/2006/relationships/hyperlink" Target="mailto:posta.certificata@pec.bonificaferrara.it" TargetMode="External"/><Relationship Id="rId4"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LibreOffice/6.4.7.2$Windows_X86_64 LibreOffice_project/639b8ac485750d5696d7590a72ef1b496725cfb5</Application>
  <Pages>8</Pages>
  <Words>1643</Words>
  <Characters>9388</Characters>
  <CharactersWithSpaces>10967</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2026-07-07T06:58:00Z</dcterms:created>
  <dc:creator>Sabrina Mazzini</dc:creator>
  <dc:description/>
  <dc:language>it-IT</dc:language>
  <cp:lastModifiedBy/>
  <cp:lastPrinted>2026-07-16T11:05:00Z</cp:lastPrinted>
  <dcterms:modified xsi:type="dcterms:W3CDTF">2026-09-08T08:06:32Z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